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r w:rsidRPr="00807A88">
        <w:rPr>
          <w:b/>
        </w:rPr>
        <w:t>Case Analysis</w:t>
      </w:r>
    </w:p>
    <w:p w:rsidR="00807A88" w:rsidRDefault="00807A88" w:rsidP="00807A88">
      <w:pPr>
        <w:spacing w:line="480" w:lineRule="auto"/>
        <w:jc w:val="center"/>
      </w:pPr>
      <w:r>
        <w:t>Name</w:t>
      </w:r>
    </w:p>
    <w:p w:rsidR="00807A88" w:rsidRDefault="00807A88" w:rsidP="00807A88">
      <w:pPr>
        <w:spacing w:line="480" w:lineRule="auto"/>
        <w:jc w:val="center"/>
      </w:pPr>
      <w:r>
        <w:t>Institution</w:t>
      </w:r>
    </w:p>
    <w:p w:rsidR="00807A88" w:rsidRDefault="00807A88" w:rsidP="00807A88">
      <w:pPr>
        <w:spacing w:line="480" w:lineRule="auto"/>
        <w:jc w:val="center"/>
      </w:pPr>
      <w:r>
        <w:t>Date</w:t>
      </w:r>
    </w:p>
    <w:p w:rsidR="00807A88" w:rsidRPr="00807A88" w:rsidRDefault="00807A88" w:rsidP="00807A88">
      <w:pPr>
        <w:spacing w:line="480" w:lineRule="auto"/>
        <w:jc w:val="cente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p>
    <w:p w:rsidR="00807A88" w:rsidRDefault="00807A88" w:rsidP="00807A88">
      <w:pPr>
        <w:spacing w:line="480" w:lineRule="auto"/>
        <w:jc w:val="center"/>
        <w:rPr>
          <w:b/>
        </w:rPr>
      </w:pPr>
      <w:r w:rsidRPr="00807A88">
        <w:rPr>
          <w:b/>
        </w:rPr>
        <w:lastRenderedPageBreak/>
        <w:t>Case Analysis</w:t>
      </w:r>
    </w:p>
    <w:p w:rsidR="00807A88" w:rsidRPr="00807A88" w:rsidRDefault="00807A88" w:rsidP="00807A88">
      <w:pPr>
        <w:spacing w:line="480" w:lineRule="auto"/>
        <w:jc w:val="center"/>
        <w:rPr>
          <w:b/>
        </w:rPr>
      </w:pPr>
      <w:r>
        <w:rPr>
          <w:b/>
        </w:rPr>
        <w:t>Definition of Agency and Agency Relationship</w:t>
      </w:r>
    </w:p>
    <w:p w:rsidR="00C47BE2" w:rsidRDefault="00C47BE2" w:rsidP="00EC1ECF">
      <w:pPr>
        <w:spacing w:line="480" w:lineRule="auto"/>
        <w:ind w:firstLine="720"/>
      </w:pPr>
      <w:r>
        <w:t>Agency is the legal word used to refer to the relationship between an agent and a principal. On the other hand, an agency relationship is a trustee relationship where one organization or a person who is termed as the principal allows an agent to take action or measures on their behalf</w:t>
      </w:r>
      <w:r w:rsidR="00EC1ECF">
        <w:t xml:space="preserve"> (</w:t>
      </w:r>
      <w:r w:rsidR="00EC1ECF">
        <w:rPr>
          <w:szCs w:val="24"/>
          <w:shd w:val="clear" w:color="auto" w:fill="FFFFFF"/>
        </w:rPr>
        <w:t xml:space="preserve">Baker, </w:t>
      </w:r>
      <w:r w:rsidR="00EC1ECF" w:rsidRPr="00EC1ECF">
        <w:rPr>
          <w:szCs w:val="24"/>
          <w:shd w:val="clear" w:color="auto" w:fill="FFFFFF"/>
        </w:rPr>
        <w:t>2019).</w:t>
      </w:r>
      <w:r>
        <w:t xml:space="preserve"> Therefore, the agent is subject to the command of the principal and must concur with their directives. For instance, an agency relationship can include a lawyer/client or employer/employee. However, what is essential for establishing an agency relationship is the declaration of assents by both parties. The declaration can be in writing, or it can be ora</w:t>
      </w:r>
      <w:r w:rsidR="00EC1ECF">
        <w:t>l (</w:t>
      </w:r>
      <w:r w:rsidR="00EC1ECF">
        <w:rPr>
          <w:szCs w:val="24"/>
          <w:shd w:val="clear" w:color="auto" w:fill="FFFFFF"/>
        </w:rPr>
        <w:t xml:space="preserve">Baker, </w:t>
      </w:r>
      <w:r w:rsidR="00EC1ECF" w:rsidRPr="00EC1ECF">
        <w:rPr>
          <w:szCs w:val="24"/>
          <w:shd w:val="clear" w:color="auto" w:fill="FFFFFF"/>
        </w:rPr>
        <w:t>2019).</w:t>
      </w:r>
      <w:r>
        <w:t xml:space="preserve"> For example, a written agency agreement can include an attorney retainer agreement. Besides, agency agreements can emerge from conditions even without explicit agreement. Nevertheless, there are different types of agency relationships. These include buyer's agency relationship, sellers' agency relationship, </w:t>
      </w:r>
      <w:r w:rsidR="00620428">
        <w:t>and dual</w:t>
      </w:r>
      <w:r>
        <w:t>, and designated agency relationship</w:t>
      </w:r>
      <w:r w:rsidR="00EC1ECF">
        <w:t>.</w:t>
      </w:r>
    </w:p>
    <w:p w:rsidR="00807A88" w:rsidRPr="00807A88" w:rsidRDefault="00807A88" w:rsidP="00807A88">
      <w:pPr>
        <w:spacing w:line="480" w:lineRule="auto"/>
        <w:jc w:val="center"/>
        <w:rPr>
          <w:b/>
        </w:rPr>
      </w:pPr>
      <w:r w:rsidRPr="00807A88">
        <w:rPr>
          <w:b/>
        </w:rPr>
        <w:t>Types of Agency Relationships</w:t>
      </w:r>
    </w:p>
    <w:p w:rsidR="00C47BE2" w:rsidRDefault="00C47BE2" w:rsidP="00EC1ECF">
      <w:pPr>
        <w:spacing w:line="480" w:lineRule="auto"/>
        <w:ind w:firstLine="720"/>
      </w:pPr>
      <w:r>
        <w:t>For the buyer's agency, the buyer, who is the principal, is viewed as the client. The buyer's agent</w:t>
      </w:r>
      <w:r w:rsidR="00807A88">
        <w:t>s maintain confidentiality, has</w:t>
      </w:r>
      <w:r>
        <w:t xml:space="preserve"> to portray loyalty, be obedient, provide logical care and assiduity, and provide an account of all funds. Additionally, they must counsel the buyer on prices to offer to a seller. The second ag</w:t>
      </w:r>
      <w:r w:rsidR="00807A88">
        <w:t xml:space="preserve">ency relationship is the sellers’ </w:t>
      </w:r>
      <w:r>
        <w:t xml:space="preserve">agency. </w:t>
      </w:r>
      <w:r w:rsidR="00807A88">
        <w:t>In the s</w:t>
      </w:r>
      <w:r>
        <w:t xml:space="preserve">ellers' agency relationship, the agent stands in for the seller in the deals, and the seller who is the principal is </w:t>
      </w:r>
      <w:r w:rsidR="00EC1ECF">
        <w:t>viewed as the client (</w:t>
      </w:r>
      <w:r w:rsidR="00EC1ECF">
        <w:rPr>
          <w:szCs w:val="24"/>
          <w:shd w:val="clear" w:color="auto" w:fill="FFFFFF"/>
        </w:rPr>
        <w:t xml:space="preserve">Baker, </w:t>
      </w:r>
      <w:r w:rsidR="00EC1ECF" w:rsidRPr="00EC1ECF">
        <w:rPr>
          <w:szCs w:val="24"/>
          <w:shd w:val="clear" w:color="auto" w:fill="FFFFFF"/>
        </w:rPr>
        <w:t>2019).</w:t>
      </w:r>
      <w:r>
        <w:t xml:space="preserve"> The sellers' agent possesses the fiduciary responsibilities to the seller</w:t>
      </w:r>
      <w:r w:rsidR="007851FF">
        <w:t>, and their roles include</w:t>
      </w:r>
      <w:r>
        <w:t xml:space="preserve"> preparing a competitive market analysis for </w:t>
      </w:r>
      <w:r>
        <w:lastRenderedPageBreak/>
        <w:t>the seller, develop and implement effective marketing strategies, negotiate on behalf of the seller and update the seller on the current market conditions. Additionally, in the seller's agency relationship, the client relationship is found</w:t>
      </w:r>
      <w:r w:rsidR="00EC1ECF">
        <w:t>ed through a listing agreement (</w:t>
      </w:r>
      <w:r w:rsidR="00EC1ECF">
        <w:rPr>
          <w:szCs w:val="24"/>
          <w:shd w:val="clear" w:color="auto" w:fill="FFFFFF"/>
        </w:rPr>
        <w:t xml:space="preserve">Baker, </w:t>
      </w:r>
      <w:r w:rsidR="00EC1ECF" w:rsidRPr="00EC1ECF">
        <w:rPr>
          <w:szCs w:val="24"/>
          <w:shd w:val="clear" w:color="auto" w:fill="FFFFFF"/>
        </w:rPr>
        <w:t>2019).</w:t>
      </w:r>
    </w:p>
    <w:p w:rsidR="00C47BE2" w:rsidRDefault="00C47BE2" w:rsidP="00EC1ECF">
      <w:pPr>
        <w:spacing w:line="480" w:lineRule="auto"/>
        <w:ind w:firstLine="720"/>
        <w:rPr>
          <w:szCs w:val="24"/>
          <w:shd w:val="clear" w:color="auto" w:fill="FFFFFF"/>
        </w:rPr>
      </w:pPr>
      <w:r>
        <w:t xml:space="preserve">On the other hand, in a dual agency relationship, both the seller and the buyer are represented by a single agent in a joint deal and </w:t>
      </w:r>
      <w:r w:rsidR="00620428">
        <w:t>undertake</w:t>
      </w:r>
      <w:r>
        <w:t xml:space="preserve"> the trustee responsibility to two principals. The dual agency's limitation is that a mistake committed by the agent becomes a mutual mistake shared by both principals. Therefore, this hinders on principals from questioning liability for the mistake of the agen</w:t>
      </w:r>
      <w:r w:rsidR="00EC1ECF">
        <w:t>t (</w:t>
      </w:r>
      <w:r w:rsidR="00EC1ECF">
        <w:rPr>
          <w:szCs w:val="24"/>
          <w:shd w:val="clear" w:color="auto" w:fill="FFFFFF"/>
        </w:rPr>
        <w:t xml:space="preserve">Baker, </w:t>
      </w:r>
      <w:r w:rsidR="00EC1ECF" w:rsidRPr="00EC1ECF">
        <w:rPr>
          <w:szCs w:val="24"/>
          <w:shd w:val="clear" w:color="auto" w:fill="FFFFFF"/>
        </w:rPr>
        <w:t>2019).</w:t>
      </w:r>
      <w:r>
        <w:t xml:space="preserve"> Besides, the dual agent owes the seller and the </w:t>
      </w:r>
      <w:r w:rsidR="007851FF">
        <w:t xml:space="preserve">buyer </w:t>
      </w:r>
      <w:r>
        <w:t>equal representation. Lastly, the designated agency represents both the sellers' and the buyers' interests; that is, one agent represents the buyer, whereas another one stands in for the seller. However, it is crucial for certain procedures to be put in place to ensure the s</w:t>
      </w:r>
      <w:r w:rsidR="00EC1ECF">
        <w:t>eparation of client information (</w:t>
      </w:r>
      <w:r w:rsidR="00EC1ECF">
        <w:rPr>
          <w:szCs w:val="24"/>
          <w:shd w:val="clear" w:color="auto" w:fill="FFFFFF"/>
        </w:rPr>
        <w:t xml:space="preserve">Baker, </w:t>
      </w:r>
      <w:r w:rsidR="00EC1ECF" w:rsidRPr="00EC1ECF">
        <w:rPr>
          <w:szCs w:val="24"/>
          <w:shd w:val="clear" w:color="auto" w:fill="FFFFFF"/>
        </w:rPr>
        <w:t>2019).</w:t>
      </w:r>
    </w:p>
    <w:p w:rsidR="00807A88" w:rsidRPr="00807A88" w:rsidRDefault="00807A88" w:rsidP="00807A88">
      <w:pPr>
        <w:spacing w:line="480" w:lineRule="auto"/>
        <w:jc w:val="center"/>
        <w:rPr>
          <w:b/>
        </w:rPr>
      </w:pPr>
      <w:r>
        <w:rPr>
          <w:b/>
          <w:szCs w:val="24"/>
          <w:shd w:val="clear" w:color="auto" w:fill="FFFFFF"/>
        </w:rPr>
        <w:t xml:space="preserve">Tort Liability, </w:t>
      </w:r>
      <w:r w:rsidRPr="00807A88">
        <w:rPr>
          <w:b/>
          <w:szCs w:val="24"/>
          <w:shd w:val="clear" w:color="auto" w:fill="FFFFFF"/>
        </w:rPr>
        <w:t>and its Relation to Agency Relationship</w:t>
      </w:r>
    </w:p>
    <w:p w:rsidR="00C47BE2" w:rsidRDefault="00C47BE2" w:rsidP="00EC1ECF">
      <w:pPr>
        <w:spacing w:line="480" w:lineRule="auto"/>
        <w:ind w:firstLine="720"/>
      </w:pPr>
      <w:r>
        <w:t>Tort liability states that the tort</w:t>
      </w:r>
      <w:r w:rsidR="00EC13A9">
        <w:t xml:space="preserve"> </w:t>
      </w:r>
      <w:r>
        <w:t xml:space="preserve">feasor that is the person who commits a tort, is accountable for tort liability. Therefore, they have to compensate for the harm they have caused to them. </w:t>
      </w:r>
      <w:r w:rsidR="00620428">
        <w:t xml:space="preserve">In other words, if the tortfeasor is found liable, then they are responsible for the injuries they have caused to the person; hence they are required to cater to the damages caused. </w:t>
      </w:r>
      <w:r>
        <w:t>On the other hand, the principal is accountable for contractual arrangements agreed by them with a third party if the agen</w:t>
      </w:r>
      <w:r w:rsidR="00EC1ECF">
        <w:t>t has endorsed these agreements (</w:t>
      </w:r>
      <w:r w:rsidR="00EC1ECF">
        <w:rPr>
          <w:szCs w:val="24"/>
          <w:shd w:val="clear" w:color="auto" w:fill="FFFFFF"/>
        </w:rPr>
        <w:t xml:space="preserve">Baker, </w:t>
      </w:r>
      <w:r w:rsidR="00EC1ECF" w:rsidRPr="00EC1ECF">
        <w:rPr>
          <w:szCs w:val="24"/>
          <w:shd w:val="clear" w:color="auto" w:fill="FFFFFF"/>
        </w:rPr>
        <w:t>2019).</w:t>
      </w:r>
      <w:r w:rsidR="007851FF">
        <w:t xml:space="preserve"> The principal can </w:t>
      </w:r>
      <w:r>
        <w:t>directly be liable for tort perpetrated by the agent if the principal instructed the agent to commit the act. Alternatively, a principal can be accountable for the agent's actions when the said agent is an employee of the principal, and he or she was acting with</w:t>
      </w:r>
      <w:r w:rsidR="00EC1ECF">
        <w:t xml:space="preserve"> the jurisdiction of employment (</w:t>
      </w:r>
      <w:r w:rsidR="00EC1ECF">
        <w:rPr>
          <w:szCs w:val="24"/>
          <w:shd w:val="clear" w:color="auto" w:fill="FFFFFF"/>
        </w:rPr>
        <w:t xml:space="preserve">Baker, </w:t>
      </w:r>
      <w:r w:rsidR="00EC1ECF" w:rsidRPr="00EC1ECF">
        <w:rPr>
          <w:szCs w:val="24"/>
          <w:shd w:val="clear" w:color="auto" w:fill="FFFFFF"/>
        </w:rPr>
        <w:t>2019).</w:t>
      </w:r>
      <w:r>
        <w:t xml:space="preserve"> For instance, if a principal hires an agent to make deliveries or other services and </w:t>
      </w:r>
      <w:r w:rsidR="007851FF">
        <w:t xml:space="preserve">they </w:t>
      </w:r>
      <w:r>
        <w:lastRenderedPageBreak/>
        <w:t xml:space="preserve">negligently </w:t>
      </w:r>
      <w:r w:rsidR="007851FF">
        <w:t>get</w:t>
      </w:r>
      <w:r>
        <w:t xml:space="preserve"> involved in an accident while in transit to make a delivery, the principal can be held accountable for the damages and injuries suffered by the third party as a result of the accident caused by the driver's negligence.</w:t>
      </w:r>
    </w:p>
    <w:p w:rsidR="00807A88" w:rsidRPr="00807A88" w:rsidRDefault="00807A88" w:rsidP="00807A88">
      <w:pPr>
        <w:spacing w:line="480" w:lineRule="auto"/>
        <w:jc w:val="center"/>
        <w:rPr>
          <w:b/>
        </w:rPr>
      </w:pPr>
      <w:r w:rsidRPr="00807A88">
        <w:rPr>
          <w:b/>
        </w:rPr>
        <w:t>Dave’s Case Study Relevance</w:t>
      </w:r>
    </w:p>
    <w:p w:rsidR="00057C2C" w:rsidRDefault="00C47BE2" w:rsidP="00EC1ECF">
      <w:pPr>
        <w:spacing w:line="480" w:lineRule="auto"/>
        <w:ind w:firstLine="720"/>
      </w:pPr>
      <w:r>
        <w:t>Therefore, considering Dave's case study, who is an employee of the Empire Courier Service, and Victor, who is the third party, all facts show that Empire Courier Service is liable for Dave's actions</w:t>
      </w:r>
      <w:r w:rsidR="007851FF">
        <w:t xml:space="preserve"> a</w:t>
      </w:r>
      <w:r w:rsidR="00941D6C">
        <w:t>nd it is the one</w:t>
      </w:r>
      <w:r w:rsidR="007851FF">
        <w:t xml:space="preserve"> liable </w:t>
      </w:r>
      <w:r w:rsidR="001A1899">
        <w:t>for</w:t>
      </w:r>
      <w:r w:rsidR="007851FF">
        <w:t xml:space="preserve"> the injuries and damages caused by Dave</w:t>
      </w:r>
      <w:r>
        <w:t xml:space="preserve">. This is </w:t>
      </w:r>
      <w:r w:rsidR="001A1899">
        <w:t xml:space="preserve">for </w:t>
      </w:r>
      <w:r>
        <w:t>the accident</w:t>
      </w:r>
      <w:r w:rsidR="001A1899">
        <w:t xml:space="preserve"> cause</w:t>
      </w:r>
      <w:r w:rsidR="00941D6C">
        <w:t>d</w:t>
      </w:r>
      <w:r w:rsidR="001A1899">
        <w:t xml:space="preserve"> by negligence</w:t>
      </w:r>
      <w:r>
        <w:t xml:space="preserve"> and the intentional tor</w:t>
      </w:r>
      <w:r w:rsidR="00941D6C">
        <w:t xml:space="preserve">t for punching Victor. Considering, </w:t>
      </w:r>
      <w:r>
        <w:t>Empire Courier Service is the principal, and tort liability states that if the agent is an employee of the principal, and the agent commits a tort in the jurisdiction of employment, then the employer who is the principal is respons</w:t>
      </w:r>
      <w:r w:rsidR="00EC1ECF">
        <w:t>ible for the employee's actions</w:t>
      </w:r>
      <w:r w:rsidR="00941D6C">
        <w:t xml:space="preserve"> therefore Empire Co</w:t>
      </w:r>
      <w:r w:rsidR="00F862CC">
        <w:t>urier Service suffers liability</w:t>
      </w:r>
      <w:bookmarkStart w:id="0" w:name="_GoBack"/>
      <w:bookmarkEnd w:id="0"/>
      <w:r w:rsidR="00EC1ECF">
        <w:t xml:space="preserve"> (</w:t>
      </w:r>
      <w:r w:rsidR="00EC1ECF">
        <w:rPr>
          <w:szCs w:val="24"/>
          <w:shd w:val="clear" w:color="auto" w:fill="FFFFFF"/>
        </w:rPr>
        <w:t xml:space="preserve">Baker, </w:t>
      </w:r>
      <w:r w:rsidR="00EC1ECF" w:rsidRPr="00EC1ECF">
        <w:rPr>
          <w:szCs w:val="24"/>
          <w:shd w:val="clear" w:color="auto" w:fill="FFFFFF"/>
        </w:rPr>
        <w:t>2019).</w:t>
      </w:r>
    </w:p>
    <w:p w:rsidR="00EC1ECF" w:rsidRDefault="00EC1ECF" w:rsidP="00EC1ECF">
      <w:pPr>
        <w:spacing w:line="480" w:lineRule="auto"/>
      </w:pPr>
    </w:p>
    <w:p w:rsidR="00EC1ECF" w:rsidRDefault="00EC1ECF" w:rsidP="00EC1ECF">
      <w:pPr>
        <w:spacing w:line="480" w:lineRule="auto"/>
      </w:pPr>
    </w:p>
    <w:p w:rsidR="00EC1ECF" w:rsidRDefault="00EC1ECF" w:rsidP="00EC1ECF">
      <w:pPr>
        <w:spacing w:line="480" w:lineRule="auto"/>
      </w:pPr>
    </w:p>
    <w:p w:rsidR="00EC1ECF" w:rsidRDefault="00EC1ECF" w:rsidP="00EC1ECF">
      <w:pPr>
        <w:spacing w:line="480" w:lineRule="auto"/>
      </w:pPr>
    </w:p>
    <w:p w:rsidR="00EC1ECF" w:rsidRDefault="00EC1ECF" w:rsidP="00EC1ECF">
      <w:pPr>
        <w:spacing w:line="480" w:lineRule="auto"/>
      </w:pPr>
    </w:p>
    <w:p w:rsidR="00EC1ECF" w:rsidRDefault="00EC1ECF" w:rsidP="00EC1ECF">
      <w:pPr>
        <w:spacing w:line="480" w:lineRule="auto"/>
      </w:pPr>
    </w:p>
    <w:p w:rsidR="00EC1ECF" w:rsidRDefault="00EC1ECF" w:rsidP="00EC1ECF">
      <w:pPr>
        <w:spacing w:line="480" w:lineRule="auto"/>
      </w:pPr>
    </w:p>
    <w:p w:rsidR="00E3266B" w:rsidRDefault="00E3266B" w:rsidP="00EC1ECF">
      <w:pPr>
        <w:spacing w:line="480" w:lineRule="auto"/>
      </w:pPr>
    </w:p>
    <w:p w:rsidR="00EC1ECF" w:rsidRPr="00EC1ECF" w:rsidRDefault="00EC1ECF" w:rsidP="00EC1ECF">
      <w:pPr>
        <w:spacing w:line="480" w:lineRule="auto"/>
        <w:jc w:val="center"/>
        <w:rPr>
          <w:b/>
        </w:rPr>
      </w:pPr>
      <w:r>
        <w:rPr>
          <w:b/>
        </w:rPr>
        <w:lastRenderedPageBreak/>
        <w:t>Reference</w:t>
      </w:r>
    </w:p>
    <w:p w:rsidR="00EC1ECF" w:rsidRPr="00EC1ECF" w:rsidRDefault="00EC1ECF" w:rsidP="00EC1ECF">
      <w:pPr>
        <w:spacing w:line="480" w:lineRule="auto"/>
        <w:ind w:left="720" w:hanging="720"/>
        <w:rPr>
          <w:szCs w:val="24"/>
        </w:rPr>
      </w:pPr>
      <w:r w:rsidRPr="00EC1ECF">
        <w:rPr>
          <w:szCs w:val="24"/>
          <w:shd w:val="clear" w:color="auto" w:fill="FFFFFF"/>
        </w:rPr>
        <w:t>Baker, R. M. (2019). The Agency of the Principal–Agent Relationship: An Opportunity for HRD. </w:t>
      </w:r>
      <w:r w:rsidRPr="00EC1ECF">
        <w:rPr>
          <w:i/>
          <w:iCs/>
          <w:szCs w:val="24"/>
          <w:shd w:val="clear" w:color="auto" w:fill="FFFFFF"/>
        </w:rPr>
        <w:t>Advances in Developing Human Resources</w:t>
      </w:r>
      <w:r w:rsidRPr="00EC1ECF">
        <w:rPr>
          <w:szCs w:val="24"/>
          <w:shd w:val="clear" w:color="auto" w:fill="FFFFFF"/>
        </w:rPr>
        <w:t>, </w:t>
      </w:r>
      <w:r w:rsidRPr="00EC1ECF">
        <w:rPr>
          <w:i/>
          <w:iCs/>
          <w:szCs w:val="24"/>
          <w:shd w:val="clear" w:color="auto" w:fill="FFFFFF"/>
        </w:rPr>
        <w:t>21</w:t>
      </w:r>
      <w:r w:rsidRPr="00EC1ECF">
        <w:rPr>
          <w:szCs w:val="24"/>
          <w:shd w:val="clear" w:color="auto" w:fill="FFFFFF"/>
        </w:rPr>
        <w:t>(3), 303-318.</w:t>
      </w:r>
    </w:p>
    <w:sectPr w:rsidR="00EC1ECF" w:rsidRPr="00EC1ECF" w:rsidSect="003038E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CD2" w:rsidRDefault="00912CD2" w:rsidP="00807A88">
      <w:pPr>
        <w:spacing w:after="0" w:line="240" w:lineRule="auto"/>
      </w:pPr>
      <w:r>
        <w:separator/>
      </w:r>
    </w:p>
  </w:endnote>
  <w:endnote w:type="continuationSeparator" w:id="1">
    <w:p w:rsidR="00912CD2" w:rsidRDefault="00912CD2" w:rsidP="00807A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CD2" w:rsidRDefault="00912CD2" w:rsidP="00807A88">
      <w:pPr>
        <w:spacing w:after="0" w:line="240" w:lineRule="auto"/>
      </w:pPr>
      <w:r>
        <w:separator/>
      </w:r>
    </w:p>
  </w:footnote>
  <w:footnote w:type="continuationSeparator" w:id="1">
    <w:p w:rsidR="00912CD2" w:rsidRDefault="00912CD2" w:rsidP="00807A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88" w:rsidRDefault="00807A88">
    <w:pPr>
      <w:pStyle w:val="Header"/>
    </w:pPr>
    <w:r>
      <w:tab/>
    </w:r>
    <w:r>
      <w:tab/>
    </w:r>
    <w:r w:rsidR="00A03AB3">
      <w:fldChar w:fldCharType="begin"/>
    </w:r>
    <w:r>
      <w:instrText xml:space="preserve"> PAGE   \* MERGEFORMAT </w:instrText>
    </w:r>
    <w:r w:rsidR="00A03AB3">
      <w:fldChar w:fldCharType="separate"/>
    </w:r>
    <w:r w:rsidR="00620428">
      <w:rPr>
        <w:noProof/>
      </w:rPr>
      <w:t>1</w:t>
    </w:r>
    <w:r w:rsidR="00A03AB3">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5837"/>
    <w:rsid w:val="00005029"/>
    <w:rsid w:val="00057C2C"/>
    <w:rsid w:val="000A18D5"/>
    <w:rsid w:val="001A1899"/>
    <w:rsid w:val="001B3929"/>
    <w:rsid w:val="001D1425"/>
    <w:rsid w:val="00214602"/>
    <w:rsid w:val="00220AC8"/>
    <w:rsid w:val="003038E1"/>
    <w:rsid w:val="0038414F"/>
    <w:rsid w:val="00387038"/>
    <w:rsid w:val="004E7C38"/>
    <w:rsid w:val="00620428"/>
    <w:rsid w:val="006A63FA"/>
    <w:rsid w:val="007851FF"/>
    <w:rsid w:val="00807A88"/>
    <w:rsid w:val="00827186"/>
    <w:rsid w:val="008C7DC8"/>
    <w:rsid w:val="00912CD2"/>
    <w:rsid w:val="00941D6C"/>
    <w:rsid w:val="009708DC"/>
    <w:rsid w:val="00982908"/>
    <w:rsid w:val="009A5837"/>
    <w:rsid w:val="00A03AB3"/>
    <w:rsid w:val="00A42DA6"/>
    <w:rsid w:val="00AD1211"/>
    <w:rsid w:val="00B252F6"/>
    <w:rsid w:val="00B46FE7"/>
    <w:rsid w:val="00C47BE2"/>
    <w:rsid w:val="00DA745E"/>
    <w:rsid w:val="00E3266B"/>
    <w:rsid w:val="00EC1304"/>
    <w:rsid w:val="00EC13A9"/>
    <w:rsid w:val="00EC1ECF"/>
    <w:rsid w:val="00EF6A54"/>
    <w:rsid w:val="00F862CC"/>
    <w:rsid w:val="00F953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8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A88"/>
  </w:style>
  <w:style w:type="paragraph" w:styleId="Footer">
    <w:name w:val="footer"/>
    <w:basedOn w:val="Normal"/>
    <w:link w:val="FooterChar"/>
    <w:uiPriority w:val="99"/>
    <w:unhideWhenUsed/>
    <w:rsid w:val="00807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A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2020-10-20T03:22:00Z</dcterms:created>
  <dcterms:modified xsi:type="dcterms:W3CDTF">2020-10-20T03:22:00Z</dcterms:modified>
</cp:coreProperties>
</file>